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CBD4" w14:textId="77777777" w:rsidR="00D86358" w:rsidRPr="00197CF6" w:rsidRDefault="00DE09F2">
      <w:pPr>
        <w:rPr>
          <w:color w:val="FF0000"/>
        </w:rPr>
      </w:pPr>
      <w:r w:rsidRPr="00197CF6">
        <w:rPr>
          <w:color w:val="FF0000"/>
        </w:rPr>
        <w:t>Research: Acts 1:1-3</w:t>
      </w:r>
    </w:p>
    <w:p w14:paraId="1180EFFC" w14:textId="77777777" w:rsidR="00FF0802" w:rsidRPr="00197CF6" w:rsidRDefault="00FF0802">
      <w:pPr>
        <w:rPr>
          <w:color w:val="FF0000"/>
        </w:rPr>
      </w:pPr>
    </w:p>
    <w:p w14:paraId="3C8EC5C4" w14:textId="77777777" w:rsidR="00FF0802" w:rsidRPr="00197CF6" w:rsidRDefault="00FF0802" w:rsidP="00FF0802">
      <w:pPr>
        <w:pStyle w:val="NormalWeb"/>
        <w:rPr>
          <w:color w:val="000000"/>
        </w:rPr>
      </w:pPr>
      <w:r w:rsidRPr="00197CF6">
        <w:rPr>
          <w:color w:val="000000" w:themeColor="text1"/>
        </w:rPr>
        <w:t>“</w:t>
      </w:r>
      <w:r w:rsidRPr="00197CF6">
        <w:rPr>
          <w:b/>
          <w:bCs/>
          <w:color w:val="000000"/>
        </w:rPr>
        <w:t>The Establishment and Progress of the Church at Jerusalem (</w:t>
      </w:r>
      <w:hyperlink r:id="rId4" w:tgtFrame="_blank" w:history="1">
        <w:r w:rsidRPr="00197CF6">
          <w:rPr>
            <w:rStyle w:val="Hyperlink"/>
            <w:color w:val="561649"/>
          </w:rPr>
          <w:t>Acts 1:1</w:t>
        </w:r>
      </w:hyperlink>
      <w:r w:rsidRPr="00197CF6">
        <w:rPr>
          <w:rStyle w:val="Emphasis"/>
          <w:b/>
          <w:bCs/>
          <w:color w:val="781F66"/>
        </w:rPr>
        <w:t> to </w:t>
      </w:r>
      <w:hyperlink r:id="rId5" w:tgtFrame="_blank" w:history="1">
        <w:r w:rsidRPr="00197CF6">
          <w:rPr>
            <w:rStyle w:val="Hyperlink"/>
            <w:color w:val="561649"/>
          </w:rPr>
          <w:t>Acts 8:3</w:t>
        </w:r>
      </w:hyperlink>
      <w:r w:rsidRPr="00197CF6">
        <w:rPr>
          <w:rStyle w:val="Emphasis"/>
          <w:b/>
          <w:bCs/>
          <w:color w:val="781F66"/>
        </w:rPr>
        <w:t>)</w:t>
      </w:r>
    </w:p>
    <w:p w14:paraId="4C45BC54" w14:textId="2FFB8EF4" w:rsidR="00FF0802" w:rsidRDefault="00197CF6" w:rsidP="00FF0802">
      <w:pPr>
        <w:pStyle w:val="NormalWeb"/>
        <w:rPr>
          <w:color w:val="000000"/>
        </w:rPr>
      </w:pPr>
      <w:r>
        <w:rPr>
          <w:rStyle w:val="Emphasis"/>
          <w:b/>
          <w:bCs/>
          <w:color w:val="781F66"/>
        </w:rPr>
        <w:t>“</w:t>
      </w:r>
      <w:r w:rsidR="00FF0802" w:rsidRPr="00197CF6">
        <w:rPr>
          <w:rStyle w:val="Emphasis"/>
          <w:b/>
          <w:bCs/>
          <w:color w:val="781F66"/>
        </w:rPr>
        <w:t>The Acts of the Apostles</w:t>
      </w:r>
      <w:r w:rsidR="00FF0802" w:rsidRPr="00197CF6">
        <w:rPr>
          <w:color w:val="000000"/>
        </w:rPr>
        <w:t>] A more adequate title would be 'The Acts of Peter and Paul,' the Acts of Peter extending from Acts 1-12, and t</w:t>
      </w:r>
      <w:r w:rsidR="00FF0802" w:rsidRPr="00197CF6">
        <w:rPr>
          <w:color w:val="000000"/>
        </w:rPr>
        <w:t>he Acts of Paul from Acts 13-28” (Dummelow’s Commentary).</w:t>
      </w:r>
    </w:p>
    <w:p w14:paraId="60A7E91A" w14:textId="6973C45E" w:rsidR="00197CF6" w:rsidRPr="00197CF6" w:rsidRDefault="00197CF6" w:rsidP="00FF0802">
      <w:pPr>
        <w:pStyle w:val="NormalWeb"/>
        <w:rPr>
          <w:color w:val="000000"/>
        </w:rPr>
      </w:pPr>
      <w:r>
        <w:rPr>
          <w:color w:val="000000"/>
        </w:rPr>
        <w:t>Acts is the second volume of Luke’s two-volume work:  Luke and Acts. Luke tells one side of the story of Jesus’ ministry, especially his healings, and Acts is the record of the early Christian Church with Peter and Paul as the central figures.</w:t>
      </w:r>
    </w:p>
    <w:p w14:paraId="031E413C" w14:textId="77777777" w:rsidR="00DE09F2" w:rsidRPr="00197CF6" w:rsidRDefault="00DE09F2">
      <w:pPr>
        <w:rPr>
          <w:color w:val="FF0000"/>
        </w:rPr>
      </w:pPr>
    </w:p>
    <w:p w14:paraId="3AB95DA2" w14:textId="77777777" w:rsidR="00DE09F2" w:rsidRPr="00197CF6" w:rsidRDefault="00DE09F2" w:rsidP="00DE09F2">
      <w:pPr>
        <w:rPr>
          <w:rFonts w:eastAsia="Times New Roman"/>
          <w:color w:val="FF0000"/>
          <w:bdr w:val="none" w:sz="0" w:space="0" w:color="auto" w:frame="1"/>
        </w:rPr>
      </w:pPr>
      <w:r w:rsidRPr="00197CF6">
        <w:rPr>
          <w:rFonts w:eastAsia="Times New Roman"/>
          <w:color w:val="FF0000"/>
          <w:bdr w:val="none" w:sz="0" w:space="0" w:color="auto" w:frame="1"/>
        </w:rPr>
        <w:t>Acts 1:1-3</w:t>
      </w:r>
    </w:p>
    <w:p w14:paraId="7449EA97" w14:textId="77777777" w:rsidR="00DE09F2" w:rsidRPr="00197CF6" w:rsidRDefault="00DE09F2" w:rsidP="00DE09F2">
      <w:pPr>
        <w:rPr>
          <w:rFonts w:eastAsia="Times New Roman"/>
          <w:color w:val="FF0000"/>
        </w:rPr>
      </w:pPr>
    </w:p>
    <w:p w14:paraId="52B9926C" w14:textId="77777777" w:rsidR="00DE09F2" w:rsidRPr="00197CF6" w:rsidRDefault="00DE09F2" w:rsidP="00DE09F2">
      <w:pPr>
        <w:spacing w:line="312" w:lineRule="atLeast"/>
        <w:textAlignment w:val="baseline"/>
        <w:rPr>
          <w:color w:val="FF0000"/>
        </w:rPr>
      </w:pPr>
      <w:r w:rsidRPr="00197CF6">
        <w:rPr>
          <w:color w:val="FF0000"/>
          <w:bdr w:val="none" w:sz="0" w:space="0" w:color="auto" w:frame="1"/>
        </w:rPr>
        <w:t>1The </w:t>
      </w:r>
      <w:r w:rsidRPr="00197CF6">
        <w:rPr>
          <w:color w:val="FF0000"/>
        </w:rPr>
        <w:t>former treatise have I made, O Theophilus, of all that Jesus began both to do and teach, </w:t>
      </w:r>
    </w:p>
    <w:p w14:paraId="343324E8" w14:textId="77777777" w:rsidR="00DE09F2" w:rsidRPr="00197CF6" w:rsidRDefault="00DE09F2" w:rsidP="00DE09F2">
      <w:pPr>
        <w:spacing w:line="312" w:lineRule="atLeast"/>
        <w:textAlignment w:val="baseline"/>
        <w:rPr>
          <w:color w:val="FF0000"/>
        </w:rPr>
      </w:pPr>
    </w:p>
    <w:p w14:paraId="4C9A01ED" w14:textId="2A473003" w:rsidR="00FF0802" w:rsidRPr="00197CF6" w:rsidRDefault="00FF0802" w:rsidP="00FF0802">
      <w:pPr>
        <w:pStyle w:val="NormalWeb"/>
        <w:rPr>
          <w:color w:val="000000"/>
        </w:rPr>
      </w:pPr>
      <w:r w:rsidRPr="00197CF6">
        <w:rPr>
          <w:color w:val="000000" w:themeColor="text1"/>
        </w:rPr>
        <w:t>“</w:t>
      </w:r>
      <w:r w:rsidRPr="00197CF6">
        <w:rPr>
          <w:rStyle w:val="Emphasis"/>
          <w:b/>
          <w:bCs/>
          <w:color w:val="781F66"/>
        </w:rPr>
        <w:t>The former treatise</w:t>
      </w:r>
      <w:r w:rsidR="00197CF6">
        <w:rPr>
          <w:color w:val="000000"/>
        </w:rPr>
        <w:t xml:space="preserve"> or </w:t>
      </w:r>
      <w:r w:rsidRPr="00197CF6">
        <w:rPr>
          <w:color w:val="000000"/>
        </w:rPr>
        <w:t xml:space="preserve">Luke's Gospel: </w:t>
      </w:r>
    </w:p>
    <w:p w14:paraId="29BDB0C3" w14:textId="7582AC15" w:rsidR="00FF0802" w:rsidRPr="00197CF6" w:rsidRDefault="00FF0802" w:rsidP="00FF0802">
      <w:pPr>
        <w:pStyle w:val="NormalWeb"/>
        <w:rPr>
          <w:color w:val="000000"/>
        </w:rPr>
      </w:pPr>
      <w:r w:rsidRPr="00197CF6">
        <w:rPr>
          <w:rStyle w:val="Emphasis"/>
          <w:b/>
          <w:bCs/>
          <w:color w:val="781F66"/>
        </w:rPr>
        <w:t>“</w:t>
      </w:r>
      <w:r w:rsidRPr="00197CF6">
        <w:rPr>
          <w:rStyle w:val="Emphasis"/>
          <w:b/>
          <w:bCs/>
          <w:color w:val="781F66"/>
        </w:rPr>
        <w:t>Began</w:t>
      </w:r>
      <w:r w:rsidR="00197CF6">
        <w:rPr>
          <w:color w:val="000000"/>
        </w:rPr>
        <w:t>.</w:t>
      </w:r>
      <w:r w:rsidRPr="00197CF6">
        <w:rPr>
          <w:color w:val="000000"/>
        </w:rPr>
        <w:t xml:space="preserve"> The Gospel records the work that Jesus began to do. Acts records its accomplishment. The chief agent in this book is the Ascended Christ Himself, operating through His Spirit, and performing works which were not possible while He was still in the flesh (</w:t>
      </w:r>
      <w:hyperlink r:id="rId6" w:tgtFrame="_blank" w:history="1">
        <w:r w:rsidRPr="00197CF6">
          <w:rPr>
            <w:rStyle w:val="Hyperlink"/>
            <w:color w:val="561649"/>
          </w:rPr>
          <w:t>John 14:12</w:t>
        </w:r>
      </w:hyperlink>
      <w:r w:rsidRPr="00197CF6">
        <w:rPr>
          <w:color w:val="000000"/>
        </w:rPr>
        <w:t xml:space="preserve">)” </w:t>
      </w:r>
      <w:r w:rsidRPr="00197CF6">
        <w:rPr>
          <w:color w:val="000000"/>
        </w:rPr>
        <w:t>(Dummelow’s Commentary).</w:t>
      </w:r>
    </w:p>
    <w:p w14:paraId="745102C5" w14:textId="4D9D576D" w:rsidR="00197CF6" w:rsidRPr="00197CF6" w:rsidRDefault="00DE09F2" w:rsidP="00197CF6">
      <w:pPr>
        <w:pStyle w:val="p2"/>
        <w:ind w:left="0"/>
        <w:rPr>
          <w:rFonts w:ascii="Times New Roman" w:hAnsi="Times New Roman"/>
          <w:sz w:val="24"/>
          <w:szCs w:val="24"/>
        </w:rPr>
      </w:pPr>
      <w:r w:rsidRPr="00197CF6">
        <w:rPr>
          <w:rFonts w:ascii="Times New Roman" w:hAnsi="Times New Roman"/>
          <w:sz w:val="24"/>
          <w:szCs w:val="24"/>
        </w:rPr>
        <w:t xml:space="preserve">The name </w:t>
      </w:r>
      <w:r w:rsidRPr="00197CF6">
        <w:rPr>
          <w:rFonts w:ascii="Times New Roman" w:hAnsi="Times New Roman"/>
          <w:i/>
          <w:iCs/>
          <w:sz w:val="24"/>
          <w:szCs w:val="24"/>
        </w:rPr>
        <w:t xml:space="preserve">Theophilus </w:t>
      </w:r>
      <w:r w:rsidRPr="00197CF6">
        <w:rPr>
          <w:rFonts w:ascii="Times New Roman" w:hAnsi="Times New Roman"/>
          <w:sz w:val="24"/>
          <w:szCs w:val="24"/>
        </w:rPr>
        <w:t xml:space="preserve">is from two Greek words: </w:t>
      </w:r>
      <w:r w:rsidRPr="00197CF6">
        <w:rPr>
          <w:rFonts w:ascii="Times New Roman" w:hAnsi="Times New Roman"/>
          <w:i/>
          <w:iCs/>
          <w:sz w:val="24"/>
          <w:szCs w:val="24"/>
        </w:rPr>
        <w:t xml:space="preserve">theos </w:t>
      </w:r>
      <w:r w:rsidRPr="00197CF6">
        <w:rPr>
          <w:rFonts w:ascii="Times New Roman" w:hAnsi="Times New Roman"/>
          <w:sz w:val="24"/>
          <w:szCs w:val="24"/>
        </w:rPr>
        <w:t xml:space="preserve">and </w:t>
      </w:r>
      <w:r w:rsidRPr="00197CF6">
        <w:rPr>
          <w:rFonts w:ascii="Times New Roman" w:hAnsi="Times New Roman"/>
          <w:i/>
          <w:iCs/>
          <w:sz w:val="24"/>
          <w:szCs w:val="24"/>
        </w:rPr>
        <w:t xml:space="preserve">philos </w:t>
      </w:r>
      <w:r w:rsidRPr="00197CF6">
        <w:rPr>
          <w:rFonts w:ascii="Times New Roman" w:hAnsi="Times New Roman"/>
          <w:sz w:val="24"/>
          <w:szCs w:val="24"/>
        </w:rPr>
        <w:t>– which translated is “friend of God” (</w:t>
      </w:r>
      <w:r w:rsidRPr="00197CF6">
        <w:rPr>
          <w:rFonts w:ascii="Times New Roman" w:hAnsi="Times New Roman"/>
          <w:i/>
          <w:iCs/>
          <w:sz w:val="24"/>
          <w:szCs w:val="24"/>
        </w:rPr>
        <w:t xml:space="preserve">Strong </w:t>
      </w:r>
      <w:r w:rsidRPr="00197CF6">
        <w:rPr>
          <w:rFonts w:ascii="Times New Roman" w:hAnsi="Times New Roman"/>
          <w:sz w:val="24"/>
          <w:szCs w:val="24"/>
        </w:rPr>
        <w:t>#2321). We might think of the name to mean “God-loving.” There is no reason to think he was not a real person, possibly Luke’s patron, who helped fi</w:t>
      </w:r>
      <w:r w:rsidR="00197CF6" w:rsidRPr="00197CF6">
        <w:rPr>
          <w:rFonts w:ascii="Times New Roman" w:hAnsi="Times New Roman"/>
          <w:sz w:val="24"/>
          <w:szCs w:val="24"/>
        </w:rPr>
        <w:t>nance publication of the gospel.</w:t>
      </w:r>
    </w:p>
    <w:p w14:paraId="281BC008" w14:textId="77777777" w:rsidR="00DE09F2" w:rsidRPr="00197CF6" w:rsidRDefault="00DE09F2" w:rsidP="00DE09F2">
      <w:pPr>
        <w:spacing w:line="312" w:lineRule="atLeast"/>
        <w:textAlignment w:val="baseline"/>
        <w:rPr>
          <w:color w:val="FF0000"/>
        </w:rPr>
      </w:pPr>
    </w:p>
    <w:p w14:paraId="4BA2C567" w14:textId="77777777" w:rsidR="00DE09F2" w:rsidRPr="00197CF6" w:rsidRDefault="00DE09F2" w:rsidP="00DE09F2">
      <w:pPr>
        <w:spacing w:line="312" w:lineRule="atLeast"/>
        <w:textAlignment w:val="baseline"/>
        <w:rPr>
          <w:color w:val="FF0000"/>
        </w:rPr>
      </w:pPr>
      <w:r w:rsidRPr="00197CF6">
        <w:rPr>
          <w:color w:val="FF0000"/>
          <w:bdr w:val="none" w:sz="0" w:space="0" w:color="auto" w:frame="1"/>
        </w:rPr>
        <w:t>2</w:t>
      </w:r>
      <w:r w:rsidRPr="00197CF6">
        <w:rPr>
          <w:color w:val="FF0000"/>
        </w:rPr>
        <w:t>Until the day in which he was taken up, after that he through the Holy Ghost had given commandments unto the apostles whom he had chosen: </w:t>
      </w:r>
    </w:p>
    <w:p w14:paraId="3E7BD9BC" w14:textId="77777777" w:rsidR="00DE09F2" w:rsidRPr="00197CF6" w:rsidRDefault="00DE09F2" w:rsidP="00DE09F2">
      <w:pPr>
        <w:spacing w:line="312" w:lineRule="atLeast"/>
        <w:textAlignment w:val="baseline"/>
        <w:rPr>
          <w:color w:val="FF0000"/>
        </w:rPr>
      </w:pPr>
    </w:p>
    <w:p w14:paraId="305CC88E" w14:textId="77777777" w:rsidR="00DE09F2" w:rsidRPr="00197CF6" w:rsidRDefault="00DE09F2" w:rsidP="00DE09F2"/>
    <w:p w14:paraId="7286BF75" w14:textId="59E9694B" w:rsidR="00DE09F2" w:rsidRPr="00197CF6" w:rsidRDefault="00197CF6" w:rsidP="00197CF6">
      <w:pPr>
        <w:spacing w:line="182" w:lineRule="atLeast"/>
      </w:pPr>
      <w:r w:rsidRPr="00197CF6">
        <w:t>“</w:t>
      </w:r>
      <w:r w:rsidR="00DE09F2" w:rsidRPr="00197CF6">
        <w:t>The first phrase is a description of Jesus’ ascension which actually inaugurates the apostles’ mission. “Luke stresses the Spirit-guided apostolic character of the Christian gospel. This is the first of 57 occurrences of ‘the Spirit’ [or Holy Ghost] in the book of Acts” (</w:t>
      </w:r>
      <w:r w:rsidR="00DE09F2" w:rsidRPr="00197CF6">
        <w:rPr>
          <w:i/>
          <w:iCs/>
        </w:rPr>
        <w:t xml:space="preserve">AB Acts </w:t>
      </w:r>
      <w:r w:rsidR="00DE09F2" w:rsidRPr="00197CF6">
        <w:t>196).</w:t>
      </w:r>
    </w:p>
    <w:p w14:paraId="49E2F411" w14:textId="77777777" w:rsidR="00197CF6" w:rsidRPr="00197CF6" w:rsidRDefault="00197CF6" w:rsidP="00197CF6">
      <w:pPr>
        <w:spacing w:line="182" w:lineRule="atLeast"/>
      </w:pPr>
    </w:p>
    <w:p w14:paraId="366BDD79" w14:textId="4527B548" w:rsidR="00DE09F2" w:rsidRPr="00197CF6" w:rsidRDefault="00197CF6" w:rsidP="00197CF6">
      <w:pPr>
        <w:spacing w:line="182" w:lineRule="atLeast"/>
      </w:pPr>
      <w:r w:rsidRPr="00197CF6">
        <w:t>“</w:t>
      </w:r>
      <w:r w:rsidR="00DE09F2" w:rsidRPr="00197CF6">
        <w:t xml:space="preserve">The word “ghost” in Greek is </w:t>
      </w:r>
      <w:r w:rsidR="00DE09F2" w:rsidRPr="00197CF6">
        <w:rPr>
          <w:i/>
          <w:iCs/>
        </w:rPr>
        <w:t>pneuma</w:t>
      </w:r>
      <w:r w:rsidR="00DE09F2" w:rsidRPr="00197CF6">
        <w:t>. It is “breath, Spirit, wind, air” (</w:t>
      </w:r>
      <w:r w:rsidR="00DE09F2" w:rsidRPr="00197CF6">
        <w:rPr>
          <w:i/>
          <w:iCs/>
        </w:rPr>
        <w:t xml:space="preserve">Strong </w:t>
      </w:r>
      <w:r w:rsidR="00DE09F2" w:rsidRPr="00197CF6">
        <w:t>#4151) and is associated with the concept of movement. The Scriptures open with: “The Spirit of God moved upon the face of the waters” (Gen. 1:2). </w:t>
      </w:r>
    </w:p>
    <w:p w14:paraId="1C732031" w14:textId="77777777" w:rsidR="00197CF6" w:rsidRPr="00197CF6" w:rsidRDefault="00197CF6" w:rsidP="00197CF6">
      <w:pPr>
        <w:spacing w:line="182" w:lineRule="atLeast"/>
      </w:pPr>
    </w:p>
    <w:p w14:paraId="631C2912" w14:textId="77777777" w:rsidR="00DE09F2" w:rsidRPr="00197CF6" w:rsidRDefault="00DE09F2" w:rsidP="00197CF6">
      <w:pPr>
        <w:spacing w:line="182" w:lineRule="atLeast"/>
      </w:pPr>
      <w:r w:rsidRPr="00197CF6">
        <w:t>“whom he had chosen” alludes to Luke 6:13: “he called unto him his disciples: and of them he chose twelve, whom also he named apostles.” </w:t>
      </w:r>
    </w:p>
    <w:p w14:paraId="07A6B35F" w14:textId="77777777" w:rsidR="00197CF6" w:rsidRPr="00197CF6" w:rsidRDefault="00197CF6" w:rsidP="00197CF6">
      <w:pPr>
        <w:spacing w:line="182" w:lineRule="atLeast"/>
      </w:pPr>
    </w:p>
    <w:p w14:paraId="1CA52DAE" w14:textId="77777777" w:rsidR="00631C1C" w:rsidRDefault="00197CF6" w:rsidP="00197CF6">
      <w:pPr>
        <w:rPr>
          <w:rFonts w:eastAsia="Times New Roman"/>
          <w:color w:val="000000"/>
        </w:rPr>
      </w:pPr>
      <w:r w:rsidRPr="00197CF6">
        <w:t>“</w:t>
      </w:r>
      <w:r w:rsidRPr="00197CF6">
        <w:rPr>
          <w:rStyle w:val="Emphasis"/>
          <w:rFonts w:eastAsia="Times New Roman"/>
          <w:b/>
          <w:bCs/>
          <w:color w:val="781F66"/>
        </w:rPr>
        <w:t>Through the. Holy Ghost</w:t>
      </w:r>
      <w:r w:rsidRPr="00197CF6">
        <w:rPr>
          <w:rFonts w:eastAsia="Times New Roman"/>
          <w:color w:val="000000"/>
        </w:rPr>
        <w:t xml:space="preserve">] St. Luke represents all the actions of Christ's ministry as performed by the power of the Holy Spirit, which He received at His Baptism to consecrate Him to His office of Messiah: </w:t>
      </w:r>
    </w:p>
    <w:p w14:paraId="3C2B98E1" w14:textId="77777777" w:rsidR="00631C1C" w:rsidRDefault="00631C1C" w:rsidP="00197CF6">
      <w:pPr>
        <w:rPr>
          <w:rFonts w:eastAsia="Times New Roman"/>
          <w:color w:val="000000"/>
        </w:rPr>
      </w:pPr>
    </w:p>
    <w:p w14:paraId="3EA72B5C" w14:textId="20283A49" w:rsidR="00197CF6" w:rsidRPr="00197CF6" w:rsidRDefault="00631C1C" w:rsidP="00197CF6">
      <w:pPr>
        <w:rPr>
          <w:rFonts w:eastAsia="Times New Roman"/>
        </w:rPr>
      </w:pPr>
      <w:r>
        <w:rPr>
          <w:rFonts w:eastAsia="Times New Roman"/>
          <w:color w:val="000000"/>
        </w:rPr>
        <w:t>“</w:t>
      </w:r>
      <w:r w:rsidR="00197CF6" w:rsidRPr="00197CF6">
        <w:rPr>
          <w:rStyle w:val="Emphasis"/>
          <w:rFonts w:eastAsia="Times New Roman"/>
          <w:b/>
          <w:bCs/>
          <w:color w:val="781F66"/>
        </w:rPr>
        <w:t>Commandments</w:t>
      </w:r>
      <w:r w:rsidR="00197CF6" w:rsidRPr="00197CF6">
        <w:rPr>
          <w:rFonts w:eastAsia="Times New Roman"/>
          <w:color w:val="000000"/>
        </w:rPr>
        <w:t>] viz. to preach repentance and remission of sins to all nations beginning at Jerusalem, and to tarry in the city until they should be endued with power from on high (</w:t>
      </w:r>
      <w:hyperlink r:id="rId7" w:tgtFrame="_blank" w:history="1">
        <w:r w:rsidR="00197CF6" w:rsidRPr="00197CF6">
          <w:rPr>
            <w:rStyle w:val="Hyperlink"/>
            <w:rFonts w:eastAsia="Times New Roman"/>
            <w:color w:val="561649"/>
          </w:rPr>
          <w:t>Luke 24:47</w:t>
        </w:r>
      </w:hyperlink>
      <w:r w:rsidR="00197CF6" w:rsidRPr="00197CF6">
        <w:rPr>
          <w:rFonts w:eastAsia="Times New Roman"/>
          <w:color w:val="000000"/>
        </w:rPr>
        <w:t>.)</w:t>
      </w:r>
      <w:r w:rsidR="00197CF6" w:rsidRPr="00197CF6">
        <w:rPr>
          <w:rFonts w:eastAsia="Times New Roman"/>
          <w:color w:val="000000"/>
        </w:rPr>
        <w:t xml:space="preserve">” (Dummelow’s Commentary). </w:t>
      </w:r>
    </w:p>
    <w:p w14:paraId="213C0680" w14:textId="6E8A9083" w:rsidR="00197CF6" w:rsidRPr="00197CF6" w:rsidRDefault="00197CF6" w:rsidP="00197CF6">
      <w:pPr>
        <w:spacing w:line="182" w:lineRule="atLeast"/>
      </w:pPr>
    </w:p>
    <w:p w14:paraId="4A6087A2" w14:textId="77777777" w:rsidR="00DE09F2" w:rsidRPr="00197CF6" w:rsidRDefault="00DE09F2" w:rsidP="00DE09F2">
      <w:pPr>
        <w:spacing w:line="312" w:lineRule="atLeast"/>
        <w:textAlignment w:val="baseline"/>
        <w:rPr>
          <w:color w:val="FF0000"/>
        </w:rPr>
      </w:pPr>
    </w:p>
    <w:p w14:paraId="7440217F" w14:textId="77777777" w:rsidR="00DE09F2" w:rsidRPr="00197CF6" w:rsidRDefault="00DE09F2" w:rsidP="00DE09F2">
      <w:pPr>
        <w:spacing w:line="312" w:lineRule="atLeast"/>
        <w:textAlignment w:val="baseline"/>
        <w:rPr>
          <w:color w:val="FF0000"/>
        </w:rPr>
      </w:pPr>
      <w:r w:rsidRPr="00197CF6">
        <w:rPr>
          <w:color w:val="FF0000"/>
          <w:bdr w:val="none" w:sz="0" w:space="0" w:color="auto" w:frame="1"/>
        </w:rPr>
        <w:t>3</w:t>
      </w:r>
      <w:r w:rsidRPr="00197CF6">
        <w:rPr>
          <w:color w:val="FF0000"/>
        </w:rPr>
        <w:t>To whom also he shewed himself alive after his passion by many infallible proofs, being seen of them forty days, and speaking of the things pertaining to the kingdom of God:</w:t>
      </w:r>
    </w:p>
    <w:p w14:paraId="5B52088F" w14:textId="77777777" w:rsidR="00DE09F2" w:rsidRPr="00197CF6" w:rsidRDefault="00DE09F2">
      <w:pPr>
        <w:rPr>
          <w:color w:val="FF0000"/>
        </w:rPr>
      </w:pPr>
    </w:p>
    <w:p w14:paraId="3084C53A" w14:textId="708F1C95" w:rsidR="00631C1C" w:rsidRPr="00197CF6" w:rsidRDefault="00197CF6" w:rsidP="00197CF6">
      <w:pPr>
        <w:pStyle w:val="NormalWeb"/>
        <w:rPr>
          <w:color w:val="000000"/>
        </w:rPr>
      </w:pPr>
      <w:r w:rsidRPr="00197CF6">
        <w:rPr>
          <w:color w:val="000000" w:themeColor="text1"/>
        </w:rPr>
        <w:t>“</w:t>
      </w:r>
      <w:r w:rsidRPr="00197CF6">
        <w:rPr>
          <w:rStyle w:val="Emphasis"/>
          <w:b/>
          <w:bCs/>
          <w:color w:val="781F66"/>
        </w:rPr>
        <w:t>Many infallible proofs] RV</w:t>
      </w:r>
      <w:r w:rsidRPr="00197CF6">
        <w:rPr>
          <w:color w:val="000000"/>
        </w:rPr>
        <w:t xml:space="preserve"> omits 'infallible,' but the Gk. implies that they were reliable and convincing. The 'many' is important, for St. Luke records only four appearances, all in Judaea: </w:t>
      </w:r>
    </w:p>
    <w:p w14:paraId="3D486A27" w14:textId="5A9A9212" w:rsidR="00631C1C" w:rsidRDefault="00631C1C" w:rsidP="00197CF6">
      <w:pPr>
        <w:pStyle w:val="NormalWeb"/>
        <w:rPr>
          <w:color w:val="000000"/>
        </w:rPr>
      </w:pPr>
      <w:r>
        <w:rPr>
          <w:rStyle w:val="Emphasis"/>
          <w:b/>
          <w:bCs/>
          <w:color w:val="781F66"/>
        </w:rPr>
        <w:t>“</w:t>
      </w:r>
      <w:r w:rsidR="00197CF6" w:rsidRPr="00197CF6">
        <w:rPr>
          <w:rStyle w:val="Emphasis"/>
          <w:b/>
          <w:bCs/>
          <w:color w:val="781F66"/>
        </w:rPr>
        <w:t>Forty days</w:t>
      </w:r>
      <w:r w:rsidR="00197CF6" w:rsidRPr="00197CF6">
        <w:rPr>
          <w:color w:val="000000"/>
        </w:rPr>
        <w:t>] i.e. at intervals during forty days. </w:t>
      </w:r>
    </w:p>
    <w:p w14:paraId="59C7AA85" w14:textId="55E6A2E8" w:rsidR="00197CF6" w:rsidRPr="00197CF6" w:rsidRDefault="00631C1C" w:rsidP="00197CF6">
      <w:pPr>
        <w:pStyle w:val="NormalWeb"/>
        <w:rPr>
          <w:color w:val="000000"/>
        </w:rPr>
      </w:pPr>
      <w:r>
        <w:rPr>
          <w:rStyle w:val="Emphasis"/>
          <w:b/>
          <w:bCs/>
          <w:color w:val="781F66"/>
        </w:rPr>
        <w:t>“</w:t>
      </w:r>
      <w:r w:rsidR="00197CF6" w:rsidRPr="00197CF6">
        <w:rPr>
          <w:rStyle w:val="Emphasis"/>
          <w:b/>
          <w:bCs/>
          <w:color w:val="781F66"/>
        </w:rPr>
        <w:t>The kingdom of God</w:t>
      </w:r>
      <w:r w:rsidR="00197CF6" w:rsidRPr="00197CF6">
        <w:rPr>
          <w:color w:val="000000"/>
        </w:rPr>
        <w:t>] Sometimes 'the Kingdom of God' denotes the inward and spiritual aspects of Christianity, s</w:t>
      </w:r>
      <w:r>
        <w:rPr>
          <w:color w:val="000000"/>
        </w:rPr>
        <w:t>ometimes Christianity as organiz</w:t>
      </w:r>
      <w:bookmarkStart w:id="0" w:name="_GoBack"/>
      <w:bookmarkEnd w:id="0"/>
      <w:r w:rsidR="00197CF6" w:rsidRPr="00197CF6">
        <w:rPr>
          <w:color w:val="000000"/>
        </w:rPr>
        <w:t>ed into a visible Kingdom or Church. Both meanings are here blended. The departing Lord doubtless wished to give the Apostles spiritual instructions to prepare them to receive the Holy Spirit, and also special directions for the future government of His Church</w:t>
      </w:r>
      <w:r w:rsidR="00197CF6" w:rsidRPr="00197CF6">
        <w:rPr>
          <w:color w:val="000000"/>
        </w:rPr>
        <w:t xml:space="preserve">” (Dummelow’s Commentary). </w:t>
      </w:r>
    </w:p>
    <w:p w14:paraId="76DC36E4" w14:textId="770B6FA0" w:rsidR="00197CF6" w:rsidRPr="00197CF6" w:rsidRDefault="00197CF6">
      <w:pPr>
        <w:rPr>
          <w:color w:val="000000" w:themeColor="text1"/>
        </w:rPr>
      </w:pPr>
    </w:p>
    <w:sectPr w:rsidR="00197CF6" w:rsidRPr="00197CF6"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F2"/>
    <w:rsid w:val="00197CF6"/>
    <w:rsid w:val="00280A0C"/>
    <w:rsid w:val="00631C1C"/>
    <w:rsid w:val="00AC70E9"/>
    <w:rsid w:val="00D86358"/>
    <w:rsid w:val="00DE09F2"/>
    <w:rsid w:val="00FF08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26A5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7CF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DE09F2"/>
    <w:pPr>
      <w:spacing w:before="100" w:beforeAutospacing="1" w:after="100" w:afterAutospacing="1"/>
    </w:pPr>
  </w:style>
  <w:style w:type="character" w:customStyle="1" w:styleId="verse-number">
    <w:name w:val="verse-number"/>
    <w:basedOn w:val="DefaultParagraphFont"/>
    <w:rsid w:val="00DE09F2"/>
  </w:style>
  <w:style w:type="character" w:customStyle="1" w:styleId="initial">
    <w:name w:val="initial"/>
    <w:basedOn w:val="DefaultParagraphFont"/>
    <w:rsid w:val="00DE09F2"/>
  </w:style>
  <w:style w:type="character" w:customStyle="1" w:styleId="apple-converted-space">
    <w:name w:val="apple-converted-space"/>
    <w:basedOn w:val="DefaultParagraphFont"/>
    <w:rsid w:val="00DE09F2"/>
  </w:style>
  <w:style w:type="paragraph" w:customStyle="1" w:styleId="p1">
    <w:name w:val="p1"/>
    <w:basedOn w:val="Normal"/>
    <w:rsid w:val="00DE09F2"/>
    <w:rPr>
      <w:rFonts w:ascii="Times" w:hAnsi="Times"/>
      <w:sz w:val="18"/>
      <w:szCs w:val="18"/>
    </w:rPr>
  </w:style>
  <w:style w:type="paragraph" w:customStyle="1" w:styleId="p2">
    <w:name w:val="p2"/>
    <w:basedOn w:val="Normal"/>
    <w:rsid w:val="00DE09F2"/>
    <w:pPr>
      <w:spacing w:after="45" w:line="182" w:lineRule="atLeast"/>
      <w:ind w:left="405"/>
    </w:pPr>
    <w:rPr>
      <w:rFonts w:ascii="Times" w:hAnsi="Times"/>
      <w:sz w:val="17"/>
      <w:szCs w:val="17"/>
    </w:rPr>
  </w:style>
  <w:style w:type="paragraph" w:styleId="NormalWeb">
    <w:name w:val="Normal (Web)"/>
    <w:basedOn w:val="Normal"/>
    <w:uiPriority w:val="99"/>
    <w:semiHidden/>
    <w:unhideWhenUsed/>
    <w:rsid w:val="00FF0802"/>
    <w:pPr>
      <w:spacing w:before="100" w:beforeAutospacing="1" w:after="100" w:afterAutospacing="1"/>
    </w:pPr>
  </w:style>
  <w:style w:type="character" w:customStyle="1" w:styleId="scriptref">
    <w:name w:val="scriptref"/>
    <w:basedOn w:val="DefaultParagraphFont"/>
    <w:rsid w:val="00FF0802"/>
  </w:style>
  <w:style w:type="character" w:styleId="Hyperlink">
    <w:name w:val="Hyperlink"/>
    <w:basedOn w:val="DefaultParagraphFont"/>
    <w:uiPriority w:val="99"/>
    <w:semiHidden/>
    <w:unhideWhenUsed/>
    <w:rsid w:val="00FF0802"/>
    <w:rPr>
      <w:color w:val="0000FF"/>
      <w:u w:val="single"/>
    </w:rPr>
  </w:style>
  <w:style w:type="character" w:styleId="Emphasis">
    <w:name w:val="Emphasis"/>
    <w:aliases w:val="emphasis"/>
    <w:basedOn w:val="DefaultParagraphFont"/>
    <w:uiPriority w:val="20"/>
    <w:qFormat/>
    <w:rsid w:val="00FF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4288">
      <w:bodyDiv w:val="1"/>
      <w:marLeft w:val="0"/>
      <w:marRight w:val="0"/>
      <w:marTop w:val="0"/>
      <w:marBottom w:val="0"/>
      <w:divBdr>
        <w:top w:val="none" w:sz="0" w:space="0" w:color="auto"/>
        <w:left w:val="none" w:sz="0" w:space="0" w:color="auto"/>
        <w:bottom w:val="none" w:sz="0" w:space="0" w:color="auto"/>
        <w:right w:val="none" w:sz="0" w:space="0" w:color="auto"/>
      </w:divBdr>
    </w:div>
    <w:div w:id="113644579">
      <w:bodyDiv w:val="1"/>
      <w:marLeft w:val="0"/>
      <w:marRight w:val="0"/>
      <w:marTop w:val="0"/>
      <w:marBottom w:val="0"/>
      <w:divBdr>
        <w:top w:val="none" w:sz="0" w:space="0" w:color="auto"/>
        <w:left w:val="none" w:sz="0" w:space="0" w:color="auto"/>
        <w:bottom w:val="none" w:sz="0" w:space="0" w:color="auto"/>
        <w:right w:val="none" w:sz="0" w:space="0" w:color="auto"/>
      </w:divBdr>
    </w:div>
    <w:div w:id="379135693">
      <w:bodyDiv w:val="1"/>
      <w:marLeft w:val="0"/>
      <w:marRight w:val="0"/>
      <w:marTop w:val="0"/>
      <w:marBottom w:val="0"/>
      <w:divBdr>
        <w:top w:val="none" w:sz="0" w:space="0" w:color="auto"/>
        <w:left w:val="none" w:sz="0" w:space="0" w:color="auto"/>
        <w:bottom w:val="none" w:sz="0" w:space="0" w:color="auto"/>
        <w:right w:val="none" w:sz="0" w:space="0" w:color="auto"/>
      </w:divBdr>
    </w:div>
    <w:div w:id="610893124">
      <w:bodyDiv w:val="1"/>
      <w:marLeft w:val="0"/>
      <w:marRight w:val="0"/>
      <w:marTop w:val="0"/>
      <w:marBottom w:val="0"/>
      <w:divBdr>
        <w:top w:val="none" w:sz="0" w:space="0" w:color="auto"/>
        <w:left w:val="none" w:sz="0" w:space="0" w:color="auto"/>
        <w:bottom w:val="none" w:sz="0" w:space="0" w:color="auto"/>
        <w:right w:val="none" w:sz="0" w:space="0" w:color="auto"/>
      </w:divBdr>
      <w:divsChild>
        <w:div w:id="1136532710">
          <w:marLeft w:val="0"/>
          <w:marRight w:val="0"/>
          <w:marTop w:val="0"/>
          <w:marBottom w:val="0"/>
          <w:divBdr>
            <w:top w:val="none" w:sz="0" w:space="0" w:color="auto"/>
            <w:left w:val="none" w:sz="0" w:space="0" w:color="auto"/>
            <w:bottom w:val="none" w:sz="0" w:space="0" w:color="auto"/>
            <w:right w:val="none" w:sz="0" w:space="0" w:color="auto"/>
          </w:divBdr>
          <w:divsChild>
            <w:div w:id="1192450726">
              <w:marLeft w:val="960"/>
              <w:marRight w:val="0"/>
              <w:marTop w:val="0"/>
              <w:marBottom w:val="0"/>
              <w:divBdr>
                <w:top w:val="none" w:sz="0" w:space="0" w:color="auto"/>
                <w:left w:val="none" w:sz="0" w:space="0" w:color="auto"/>
                <w:bottom w:val="none" w:sz="0" w:space="0" w:color="auto"/>
                <w:right w:val="none" w:sz="0" w:space="0" w:color="auto"/>
              </w:divBdr>
              <w:divsChild>
                <w:div w:id="910694437">
                  <w:marLeft w:val="0"/>
                  <w:marRight w:val="0"/>
                  <w:marTop w:val="240"/>
                  <w:marBottom w:val="0"/>
                  <w:divBdr>
                    <w:top w:val="none" w:sz="0" w:space="0" w:color="auto"/>
                    <w:left w:val="none" w:sz="0" w:space="0" w:color="auto"/>
                    <w:bottom w:val="none" w:sz="0" w:space="0" w:color="auto"/>
                    <w:right w:val="none" w:sz="0" w:space="0" w:color="auto"/>
                  </w:divBdr>
                  <w:divsChild>
                    <w:div w:id="53085392">
                      <w:marLeft w:val="0"/>
                      <w:marRight w:val="0"/>
                      <w:marTop w:val="0"/>
                      <w:marBottom w:val="0"/>
                      <w:divBdr>
                        <w:top w:val="none" w:sz="0" w:space="0" w:color="auto"/>
                        <w:left w:val="none" w:sz="0" w:space="0" w:color="auto"/>
                        <w:bottom w:val="none" w:sz="0" w:space="0" w:color="auto"/>
                        <w:right w:val="none" w:sz="0" w:space="0" w:color="auto"/>
                      </w:divBdr>
                      <w:divsChild>
                        <w:div w:id="726147014">
                          <w:marLeft w:val="0"/>
                          <w:marRight w:val="0"/>
                          <w:marTop w:val="240"/>
                          <w:marBottom w:val="240"/>
                          <w:divBdr>
                            <w:top w:val="none" w:sz="0" w:space="0" w:color="auto"/>
                            <w:left w:val="none" w:sz="0" w:space="0" w:color="auto"/>
                            <w:bottom w:val="none" w:sz="0" w:space="0" w:color="auto"/>
                            <w:right w:val="none" w:sz="0" w:space="0" w:color="auto"/>
                          </w:divBdr>
                          <w:divsChild>
                            <w:div w:id="18517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7748">
      <w:bodyDiv w:val="1"/>
      <w:marLeft w:val="0"/>
      <w:marRight w:val="0"/>
      <w:marTop w:val="0"/>
      <w:marBottom w:val="0"/>
      <w:divBdr>
        <w:top w:val="none" w:sz="0" w:space="0" w:color="auto"/>
        <w:left w:val="none" w:sz="0" w:space="0" w:color="auto"/>
        <w:bottom w:val="none" w:sz="0" w:space="0" w:color="auto"/>
        <w:right w:val="none" w:sz="0" w:space="0" w:color="auto"/>
      </w:divBdr>
    </w:div>
    <w:div w:id="978654330">
      <w:bodyDiv w:val="1"/>
      <w:marLeft w:val="0"/>
      <w:marRight w:val="0"/>
      <w:marTop w:val="0"/>
      <w:marBottom w:val="0"/>
      <w:divBdr>
        <w:top w:val="none" w:sz="0" w:space="0" w:color="auto"/>
        <w:left w:val="none" w:sz="0" w:space="0" w:color="auto"/>
        <w:bottom w:val="none" w:sz="0" w:space="0" w:color="auto"/>
        <w:right w:val="none" w:sz="0" w:space="0" w:color="auto"/>
      </w:divBdr>
    </w:div>
    <w:div w:id="1772429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tudylight.org/desk/index.cgi?q1=Acts+1:1&amp;t1=en_nas" TargetMode="External"/><Relationship Id="rId5" Type="http://schemas.openxmlformats.org/officeDocument/2006/relationships/hyperlink" Target="https://www.studylight.org/desk/index.cgi?q1=Acts+8:3&amp;t1=en_nas" TargetMode="External"/><Relationship Id="rId6" Type="http://schemas.openxmlformats.org/officeDocument/2006/relationships/hyperlink" Target="https://www.studylight.org/desk/index.cgi?q1=John+14:12&amp;t1=en_nas" TargetMode="External"/><Relationship Id="rId7" Type="http://schemas.openxmlformats.org/officeDocument/2006/relationships/hyperlink" Target="https://www.studylight.org/desk/index.cgi?q1=Luke+24:47&amp;t1=en_n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3181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2017-09-12T13:41:00Z</dcterms:created>
  <dcterms:modified xsi:type="dcterms:W3CDTF">2017-09-16T12:35:00Z</dcterms:modified>
</cp:coreProperties>
</file>